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E8B7B" w14:textId="2BE237CA" w:rsidR="00107E41" w:rsidRPr="00107E41" w:rsidRDefault="00107E41" w:rsidP="00107E41">
      <w:pPr>
        <w:jc w:val="center"/>
        <w:rPr>
          <w:rFonts w:ascii="Bookman Old Style" w:hAnsi="Bookman Old Style"/>
          <w:b/>
          <w:bCs/>
          <w:u w:val="single"/>
        </w:rPr>
      </w:pPr>
      <w:r w:rsidRPr="00107E41">
        <w:rPr>
          <w:rFonts w:ascii="Bookman Old Style" w:hAnsi="Bookman Old Style"/>
          <w:b/>
          <w:bCs/>
          <w:u w:val="single"/>
        </w:rPr>
        <w:t>COURT STRIKES OUT EOCO REPRESENTATION AND GIVES A-G LAST CHANCE TO PROVE AUTHORISATION OF EOCO TO PROSECUTE BUFFER STOCK CASE</w:t>
      </w:r>
    </w:p>
    <w:p w14:paraId="6DC9E7C7" w14:textId="7595ED91" w:rsidR="00107E41" w:rsidRDefault="00107E41" w:rsidP="00D046E3">
      <w:pPr>
        <w:jc w:val="both"/>
        <w:rPr>
          <w:rFonts w:ascii="Bookman Old Style" w:hAnsi="Bookman Old Style"/>
        </w:rPr>
      </w:pPr>
      <w:r>
        <w:rPr>
          <w:rFonts w:ascii="Bookman Old Style" w:hAnsi="Bookman Old Style"/>
        </w:rPr>
        <w:t xml:space="preserve">The </w:t>
      </w:r>
      <w:r w:rsidR="00C32DA1">
        <w:rPr>
          <w:rFonts w:ascii="Bookman Old Style" w:hAnsi="Bookman Old Style"/>
        </w:rPr>
        <w:t>Criminal Division of the</w:t>
      </w:r>
      <w:r>
        <w:rPr>
          <w:rFonts w:ascii="Bookman Old Style" w:hAnsi="Bookman Old Style"/>
        </w:rPr>
        <w:t xml:space="preserve"> High Court</w:t>
      </w:r>
      <w:r w:rsidR="00C32DA1">
        <w:rPr>
          <w:rFonts w:ascii="Bookman Old Style" w:hAnsi="Bookman Old Style"/>
        </w:rPr>
        <w:t>, Accra</w:t>
      </w:r>
      <w:r>
        <w:rPr>
          <w:rFonts w:ascii="Bookman Old Style" w:hAnsi="Bookman Old Style"/>
        </w:rPr>
        <w:t xml:space="preserve"> presided over by Justice </w:t>
      </w:r>
      <w:r w:rsidR="00C32DA1">
        <w:rPr>
          <w:rFonts w:ascii="Bookman Old Style" w:hAnsi="Bookman Old Style"/>
        </w:rPr>
        <w:t xml:space="preserve">Francis </w:t>
      </w:r>
      <w:r>
        <w:rPr>
          <w:rFonts w:ascii="Bookman Old Style" w:hAnsi="Bookman Old Style"/>
        </w:rPr>
        <w:t xml:space="preserve">Achibonga of the Court of Appeal sitting as additional High Court </w:t>
      </w:r>
      <w:r w:rsidR="00C32DA1">
        <w:rPr>
          <w:rFonts w:ascii="Bookman Old Style" w:hAnsi="Bookman Old Style"/>
        </w:rPr>
        <w:t xml:space="preserve">Judge, </w:t>
      </w:r>
      <w:r>
        <w:rPr>
          <w:rFonts w:ascii="Bookman Old Style" w:hAnsi="Bookman Old Style"/>
        </w:rPr>
        <w:t>on 29th April, 2026, expunged from the records the name of a lawyer from the Economic and Organised Crime Office (EOCO), Ra</w:t>
      </w:r>
      <w:r w:rsidR="00D046E3">
        <w:rPr>
          <w:rFonts w:ascii="Bookman Old Style" w:hAnsi="Bookman Old Style"/>
        </w:rPr>
        <w:t>d</w:t>
      </w:r>
      <w:r>
        <w:rPr>
          <w:rFonts w:ascii="Bookman Old Style" w:hAnsi="Bookman Old Style"/>
        </w:rPr>
        <w:t xml:space="preserve">iatu </w:t>
      </w:r>
      <w:r w:rsidR="00D046E3">
        <w:rPr>
          <w:rFonts w:ascii="Bookman Old Style" w:hAnsi="Bookman Old Style"/>
        </w:rPr>
        <w:t>Abdulai,</w:t>
      </w:r>
      <w:r>
        <w:rPr>
          <w:rFonts w:ascii="Bookman Old Style" w:hAnsi="Bookman Old Style"/>
        </w:rPr>
        <w:t xml:space="preserve"> announced by the Office of the Attorney-General as appearing for the Republic in the prosecution of former Chief Executive Officer (CEO) of the National Food and Buffer Stock Company Limited, Hanan Abdul-Wahab Aludiba and four others. </w:t>
      </w:r>
    </w:p>
    <w:p w14:paraId="6D0EBDC1" w14:textId="73977C96" w:rsidR="00107E41" w:rsidRDefault="00107E41" w:rsidP="00D046E3">
      <w:pPr>
        <w:jc w:val="both"/>
        <w:rPr>
          <w:rFonts w:ascii="Bookman Old Style" w:hAnsi="Bookman Old Style"/>
        </w:rPr>
      </w:pPr>
      <w:r>
        <w:rPr>
          <w:rFonts w:ascii="Bookman Old Style" w:hAnsi="Bookman Old Style"/>
        </w:rPr>
        <w:t xml:space="preserve">This follows </w:t>
      </w:r>
      <w:r w:rsidR="003061A1">
        <w:rPr>
          <w:rFonts w:ascii="Bookman Old Style" w:hAnsi="Bookman Old Style"/>
        </w:rPr>
        <w:t xml:space="preserve">an </w:t>
      </w:r>
      <w:r>
        <w:rPr>
          <w:rFonts w:ascii="Bookman Old Style" w:hAnsi="Bookman Old Style"/>
        </w:rPr>
        <w:t>objection raised by counsel for the first accused, Godfred Yeboah Dame, to the Office of the Attorney-General</w:t>
      </w:r>
      <w:r w:rsidR="003061A1">
        <w:rPr>
          <w:rFonts w:ascii="Bookman Old Style" w:hAnsi="Bookman Old Style"/>
        </w:rPr>
        <w:t>’s</w:t>
      </w:r>
      <w:r>
        <w:rPr>
          <w:rFonts w:ascii="Bookman Old Style" w:hAnsi="Bookman Old Style"/>
        </w:rPr>
        <w:t xml:space="preserve"> continued prosecution of the matter with </w:t>
      </w:r>
      <w:r w:rsidR="00942FD7">
        <w:rPr>
          <w:rFonts w:ascii="Bookman Old Style" w:hAnsi="Bookman Old Style"/>
        </w:rPr>
        <w:t xml:space="preserve">the </w:t>
      </w:r>
      <w:r>
        <w:rPr>
          <w:rFonts w:ascii="Bookman Old Style" w:hAnsi="Bookman Old Style"/>
        </w:rPr>
        <w:t>lawyer from EOCO</w:t>
      </w:r>
      <w:r w:rsidR="003061A1">
        <w:rPr>
          <w:rFonts w:ascii="Bookman Old Style" w:hAnsi="Bookman Old Style"/>
        </w:rPr>
        <w:t>,</w:t>
      </w:r>
      <w:r>
        <w:rPr>
          <w:rFonts w:ascii="Bookman Old Style" w:hAnsi="Bookman Old Style"/>
        </w:rPr>
        <w:t xml:space="preserve"> when </w:t>
      </w:r>
      <w:r w:rsidR="00942FD7">
        <w:rPr>
          <w:rFonts w:ascii="Bookman Old Style" w:hAnsi="Bookman Old Style"/>
        </w:rPr>
        <w:t xml:space="preserve">there has been no due authorisation of the lawyer to prosecute. According to Mr. Dame, the Law Officers Act of 1974 (NRCD 279) and the Legal Services Act of 1993 regulated the performance of functions of the </w:t>
      </w:r>
      <w:r w:rsidR="007839A9">
        <w:rPr>
          <w:rFonts w:ascii="Bookman Old Style" w:hAnsi="Bookman Old Style"/>
        </w:rPr>
        <w:t xml:space="preserve">Office of the </w:t>
      </w:r>
      <w:r w:rsidR="00942FD7">
        <w:rPr>
          <w:rFonts w:ascii="Bookman Old Style" w:hAnsi="Bookman Old Style"/>
        </w:rPr>
        <w:t>A</w:t>
      </w:r>
      <w:r w:rsidR="007839A9">
        <w:rPr>
          <w:rFonts w:ascii="Bookman Old Style" w:hAnsi="Bookman Old Style"/>
        </w:rPr>
        <w:t>ttorney</w:t>
      </w:r>
      <w:r w:rsidR="00942FD7">
        <w:rPr>
          <w:rFonts w:ascii="Bookman Old Style" w:hAnsi="Bookman Old Style"/>
        </w:rPr>
        <w:t>-G</w:t>
      </w:r>
      <w:r w:rsidR="007839A9">
        <w:rPr>
          <w:rFonts w:ascii="Bookman Old Style" w:hAnsi="Bookman Old Style"/>
        </w:rPr>
        <w:t>eneral</w:t>
      </w:r>
      <w:r w:rsidR="00942FD7">
        <w:rPr>
          <w:rFonts w:ascii="Bookman Old Style" w:hAnsi="Bookman Old Style"/>
        </w:rPr>
        <w:t>. Per the Law Officers Act, only public officers mandated by an executive instrument and certified to be on a rank equivalent to one of the posts in the Office of the Attorney-General, can appear in court with the Attorney-General or be mandated to prosecute or perform the functions of the A-G.</w:t>
      </w:r>
    </w:p>
    <w:p w14:paraId="704729F6" w14:textId="3A38BD79" w:rsidR="00942FD7" w:rsidRDefault="00942FD7" w:rsidP="00D046E3">
      <w:pPr>
        <w:jc w:val="both"/>
        <w:rPr>
          <w:rFonts w:ascii="Bookman Old Style" w:hAnsi="Bookman Old Style"/>
        </w:rPr>
      </w:pPr>
      <w:r>
        <w:rPr>
          <w:rFonts w:ascii="Bookman Old Style" w:hAnsi="Bookman Old Style"/>
        </w:rPr>
        <w:t>Arguing further, Godfred Yeboah Dame indicated that the foundation for the Law Officers Act is the Constitution. Article 88(4)</w:t>
      </w:r>
      <w:r w:rsidR="00060F4C">
        <w:rPr>
          <w:rFonts w:ascii="Bookman Old Style" w:hAnsi="Bookman Old Style"/>
        </w:rPr>
        <w:t xml:space="preserve"> of the Constitution</w:t>
      </w:r>
      <w:r>
        <w:rPr>
          <w:rFonts w:ascii="Bookman Old Style" w:hAnsi="Bookman Old Style"/>
        </w:rPr>
        <w:t xml:space="preserve"> mandates the Attorney-General to delegate his functions only in accordance with law. That law must be one of the laws of Ghana known to Article 11 of the Constitution.</w:t>
      </w:r>
    </w:p>
    <w:p w14:paraId="6E952C4C" w14:textId="510A18A0" w:rsidR="00942FD7" w:rsidRDefault="00942FD7" w:rsidP="00D046E3">
      <w:pPr>
        <w:jc w:val="both"/>
        <w:rPr>
          <w:rFonts w:ascii="Bookman Old Style" w:hAnsi="Bookman Old Style"/>
        </w:rPr>
      </w:pPr>
      <w:r>
        <w:rPr>
          <w:rFonts w:ascii="Bookman Old Style" w:hAnsi="Bookman Old Style"/>
        </w:rPr>
        <w:t xml:space="preserve">Replying to the submissions of Godfred Yeboah Dame, Principal State Attorney, Esi Yankah, submitted that a direction given by the Attorney-General to a person under section 1 of the Law Officers Act cannot be questioned. </w:t>
      </w:r>
      <w:r w:rsidR="002847D2">
        <w:rPr>
          <w:rFonts w:ascii="Bookman Old Style" w:hAnsi="Bookman Old Style"/>
        </w:rPr>
        <w:t>According to</w:t>
      </w:r>
      <w:r w:rsidR="001E77BF">
        <w:rPr>
          <w:rFonts w:ascii="Bookman Old Style" w:hAnsi="Bookman Old Style"/>
        </w:rPr>
        <w:t xml:space="preserve"> the state attorney</w:t>
      </w:r>
      <w:r>
        <w:rPr>
          <w:rFonts w:ascii="Bookman Old Style" w:hAnsi="Bookman Old Style"/>
        </w:rPr>
        <w:t xml:space="preserve">, the Deputy Attorney-General, Dr Justice Srem-Sai, had been appearing in court with the officer from EOCO and therefore that should be </w:t>
      </w:r>
      <w:r w:rsidR="001E77BF">
        <w:rPr>
          <w:rFonts w:ascii="Bookman Old Style" w:hAnsi="Bookman Old Style"/>
        </w:rPr>
        <w:t>deemed by the court</w:t>
      </w:r>
      <w:r>
        <w:rPr>
          <w:rFonts w:ascii="Bookman Old Style" w:hAnsi="Bookman Old Style"/>
        </w:rPr>
        <w:t xml:space="preserve"> to constitute sufficient authorisation by the Attorney-General.</w:t>
      </w:r>
    </w:p>
    <w:p w14:paraId="094F9F70" w14:textId="01D3D359" w:rsidR="00942FD7" w:rsidRDefault="00942FD7" w:rsidP="00D046E3">
      <w:pPr>
        <w:jc w:val="both"/>
        <w:rPr>
          <w:rFonts w:ascii="Bookman Old Style" w:hAnsi="Bookman Old Style"/>
        </w:rPr>
      </w:pPr>
      <w:r>
        <w:rPr>
          <w:rFonts w:ascii="Bookman Old Style" w:hAnsi="Bookman Old Style"/>
        </w:rPr>
        <w:t>The presiding judge observed that what could not be questioned</w:t>
      </w:r>
      <w:r w:rsidR="008824D0">
        <w:rPr>
          <w:rFonts w:ascii="Bookman Old Style" w:hAnsi="Bookman Old Style"/>
        </w:rPr>
        <w:t xml:space="preserve"> under the Law Officers Act</w:t>
      </w:r>
      <w:r>
        <w:rPr>
          <w:rFonts w:ascii="Bookman Old Style" w:hAnsi="Bookman Old Style"/>
        </w:rPr>
        <w:t xml:space="preserve"> was </w:t>
      </w:r>
      <w:r w:rsidR="00AF7E76">
        <w:rPr>
          <w:rFonts w:ascii="Bookman Old Style" w:hAnsi="Bookman Old Style"/>
        </w:rPr>
        <w:t>a</w:t>
      </w:r>
      <w:r>
        <w:rPr>
          <w:rFonts w:ascii="Bookman Old Style" w:hAnsi="Bookman Old Style"/>
        </w:rPr>
        <w:t xml:space="preserve"> direction given by the Attorney-General pursuant to the </w:t>
      </w:r>
      <w:r w:rsidR="00AF7E76">
        <w:rPr>
          <w:rFonts w:ascii="Bookman Old Style" w:hAnsi="Bookman Old Style"/>
        </w:rPr>
        <w:t xml:space="preserve">due </w:t>
      </w:r>
      <w:r>
        <w:rPr>
          <w:rFonts w:ascii="Bookman Old Style" w:hAnsi="Bookman Old Style"/>
        </w:rPr>
        <w:t xml:space="preserve">authorisation which must, in the first place, have complied with law. </w:t>
      </w:r>
      <w:r w:rsidR="0084066F">
        <w:rPr>
          <w:rFonts w:ascii="Bookman Old Style" w:hAnsi="Bookman Old Style"/>
        </w:rPr>
        <w:t>The authorisation or absence thereof</w:t>
      </w:r>
      <w:r w:rsidR="00E5648C">
        <w:rPr>
          <w:rFonts w:ascii="Bookman Old Style" w:hAnsi="Bookman Old Style"/>
        </w:rPr>
        <w:t xml:space="preserve"> itself</w:t>
      </w:r>
      <w:r w:rsidR="0084066F">
        <w:rPr>
          <w:rFonts w:ascii="Bookman Old Style" w:hAnsi="Bookman Old Style"/>
        </w:rPr>
        <w:t xml:space="preserve"> can be questioned.</w:t>
      </w:r>
      <w:r w:rsidR="0084066F" w:rsidRPr="0084066F">
        <w:rPr>
          <w:rFonts w:ascii="Bookman Old Style" w:hAnsi="Bookman Old Style"/>
        </w:rPr>
        <w:t xml:space="preserve"> </w:t>
      </w:r>
      <w:r w:rsidR="0084066F">
        <w:rPr>
          <w:rFonts w:ascii="Bookman Old Style" w:hAnsi="Bookman Old Style"/>
        </w:rPr>
        <w:t xml:space="preserve">The learned judge further noted that at the previous adjourned date, he had given the A-G an opportunity to produce the authorisation of the EOCO officer to prosecute the case with the A-G. However, they had still not been able to </w:t>
      </w:r>
      <w:r w:rsidR="0084066F">
        <w:rPr>
          <w:rFonts w:ascii="Bookman Old Style" w:hAnsi="Bookman Old Style"/>
        </w:rPr>
        <w:lastRenderedPageBreak/>
        <w:t xml:space="preserve">produce such authorisation. In the circumstances, he would </w:t>
      </w:r>
      <w:r w:rsidR="00A13B4E">
        <w:rPr>
          <w:rFonts w:ascii="Bookman Old Style" w:hAnsi="Bookman Old Style"/>
        </w:rPr>
        <w:t xml:space="preserve">proceed to </w:t>
      </w:r>
      <w:r w:rsidR="0084066F">
        <w:rPr>
          <w:rFonts w:ascii="Bookman Old Style" w:hAnsi="Bookman Old Style"/>
        </w:rPr>
        <w:t>grant the A-G a last chance to produce any authorisation, if same existed, but would expunge the name of the Assistant Staff Officer from EOCO, lawyer Radiatu Abdulai, as appearing as counsel for the Republic. The court adjourned proceedings to Tuesday, 5th May, 2026.</w:t>
      </w:r>
    </w:p>
    <w:p w14:paraId="3777162C" w14:textId="77777777" w:rsidR="00107E41" w:rsidRDefault="00107E41" w:rsidP="00D046E3">
      <w:pPr>
        <w:jc w:val="both"/>
        <w:rPr>
          <w:rFonts w:ascii="Bookman Old Style" w:hAnsi="Bookman Old Style"/>
        </w:rPr>
      </w:pPr>
    </w:p>
    <w:p w14:paraId="36BAD813" w14:textId="77777777" w:rsidR="00107E41" w:rsidRDefault="00107E41" w:rsidP="00D046E3">
      <w:pPr>
        <w:jc w:val="both"/>
        <w:rPr>
          <w:rFonts w:ascii="Bookman Old Style" w:hAnsi="Bookman Old Style"/>
        </w:rPr>
      </w:pPr>
    </w:p>
    <w:p w14:paraId="5469643B" w14:textId="77777777" w:rsidR="00107E41" w:rsidRPr="00107E41" w:rsidRDefault="00107E41" w:rsidP="00D046E3">
      <w:pPr>
        <w:jc w:val="both"/>
        <w:rPr>
          <w:rFonts w:ascii="Bookman Old Style" w:hAnsi="Bookman Old Style"/>
        </w:rPr>
      </w:pPr>
    </w:p>
    <w:sectPr w:rsidR="00107E41" w:rsidRPr="00107E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E41"/>
    <w:rsid w:val="00060F4C"/>
    <w:rsid w:val="00107E41"/>
    <w:rsid w:val="001E77BF"/>
    <w:rsid w:val="002847D2"/>
    <w:rsid w:val="003061A1"/>
    <w:rsid w:val="007839A9"/>
    <w:rsid w:val="0084066F"/>
    <w:rsid w:val="008552E9"/>
    <w:rsid w:val="00870766"/>
    <w:rsid w:val="008824D0"/>
    <w:rsid w:val="00942FD7"/>
    <w:rsid w:val="00953DBA"/>
    <w:rsid w:val="009827D3"/>
    <w:rsid w:val="00A13B4E"/>
    <w:rsid w:val="00AF7E76"/>
    <w:rsid w:val="00C32DA1"/>
    <w:rsid w:val="00D046E3"/>
    <w:rsid w:val="00E5648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A3CC2"/>
  <w15:chartTrackingRefBased/>
  <w15:docId w15:val="{40B81DC4-1902-4E92-B092-050BD6166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7E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7E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7E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7E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7E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7E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7E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7E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7E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7E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7E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7E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7E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7E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7E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7E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7E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7E41"/>
    <w:rPr>
      <w:rFonts w:eastAsiaTheme="majorEastAsia" w:cstheme="majorBidi"/>
      <w:color w:val="272727" w:themeColor="text1" w:themeTint="D8"/>
    </w:rPr>
  </w:style>
  <w:style w:type="paragraph" w:styleId="Title">
    <w:name w:val="Title"/>
    <w:basedOn w:val="Normal"/>
    <w:next w:val="Normal"/>
    <w:link w:val="TitleChar"/>
    <w:uiPriority w:val="10"/>
    <w:qFormat/>
    <w:rsid w:val="00107E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7E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7E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7E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7E41"/>
    <w:pPr>
      <w:spacing w:before="160"/>
      <w:jc w:val="center"/>
    </w:pPr>
    <w:rPr>
      <w:i/>
      <w:iCs/>
      <w:color w:val="404040" w:themeColor="text1" w:themeTint="BF"/>
    </w:rPr>
  </w:style>
  <w:style w:type="character" w:customStyle="1" w:styleId="QuoteChar">
    <w:name w:val="Quote Char"/>
    <w:basedOn w:val="DefaultParagraphFont"/>
    <w:link w:val="Quote"/>
    <w:uiPriority w:val="29"/>
    <w:rsid w:val="00107E41"/>
    <w:rPr>
      <w:i/>
      <w:iCs/>
      <w:color w:val="404040" w:themeColor="text1" w:themeTint="BF"/>
    </w:rPr>
  </w:style>
  <w:style w:type="paragraph" w:styleId="ListParagraph">
    <w:name w:val="List Paragraph"/>
    <w:basedOn w:val="Normal"/>
    <w:uiPriority w:val="34"/>
    <w:qFormat/>
    <w:rsid w:val="00107E41"/>
    <w:pPr>
      <w:ind w:left="720"/>
      <w:contextualSpacing/>
    </w:pPr>
  </w:style>
  <w:style w:type="character" w:styleId="IntenseEmphasis">
    <w:name w:val="Intense Emphasis"/>
    <w:basedOn w:val="DefaultParagraphFont"/>
    <w:uiPriority w:val="21"/>
    <w:qFormat/>
    <w:rsid w:val="00107E41"/>
    <w:rPr>
      <w:i/>
      <w:iCs/>
      <w:color w:val="0F4761" w:themeColor="accent1" w:themeShade="BF"/>
    </w:rPr>
  </w:style>
  <w:style w:type="paragraph" w:styleId="IntenseQuote">
    <w:name w:val="Intense Quote"/>
    <w:basedOn w:val="Normal"/>
    <w:next w:val="Normal"/>
    <w:link w:val="IntenseQuoteChar"/>
    <w:uiPriority w:val="30"/>
    <w:qFormat/>
    <w:rsid w:val="00107E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7E41"/>
    <w:rPr>
      <w:i/>
      <w:iCs/>
      <w:color w:val="0F4761" w:themeColor="accent1" w:themeShade="BF"/>
    </w:rPr>
  </w:style>
  <w:style w:type="character" w:styleId="IntenseReference">
    <w:name w:val="Intense Reference"/>
    <w:basedOn w:val="DefaultParagraphFont"/>
    <w:uiPriority w:val="32"/>
    <w:qFormat/>
    <w:rsid w:val="00107E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2580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Godfred Dame</dc:creator>
  <cp:keywords/>
  <dc:description/>
  <cp:lastModifiedBy>Guest User</cp:lastModifiedBy>
  <cp:revision>2</cp:revision>
  <dcterms:created xsi:type="dcterms:W3CDTF">2026-04-29T17:39:00Z</dcterms:created>
  <dcterms:modified xsi:type="dcterms:W3CDTF">2026-04-29T17:39:00Z</dcterms:modified>
</cp:coreProperties>
</file>